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5A" w:rsidRDefault="00001823" w:rsidP="00001823">
      <w:pPr>
        <w:jc w:val="center"/>
        <w:rPr>
          <w:color w:val="494949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Правила подготовки пациента к </w:t>
      </w:r>
      <w:r>
        <w:rPr>
          <w:b/>
          <w:bCs/>
          <w:color w:val="000000"/>
          <w:sz w:val="28"/>
          <w:szCs w:val="28"/>
          <w:lang w:val="ru-RU"/>
        </w:rPr>
        <w:t xml:space="preserve">УЗИ брюшной полости и почек. </w:t>
      </w:r>
    </w:p>
    <w:p w:rsidR="006C355A" w:rsidRDefault="006C355A" w:rsidP="00001823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6C355A" w:rsidRPr="00001823" w:rsidRDefault="00001823" w:rsidP="00001823">
      <w:pPr>
        <w:jc w:val="both"/>
        <w:rPr>
          <w:color w:val="000000"/>
          <w:sz w:val="28"/>
          <w:szCs w:val="28"/>
          <w:lang w:val="ru-RU"/>
        </w:rPr>
      </w:pPr>
      <w:r w:rsidRPr="00001823">
        <w:rPr>
          <w:color w:val="000000"/>
          <w:sz w:val="28"/>
          <w:szCs w:val="28"/>
          <w:lang w:val="ru-RU"/>
        </w:rPr>
        <w:t>Обследование брюшной полости проводится натощак. Перед обследованием должно пройти не менее 20 часов с момента последнего приема пищи. Запрещены перекусы. За 2 дня до УЗИ необходимо начать</w:t>
      </w:r>
      <w:r w:rsidRPr="00001823">
        <w:rPr>
          <w:color w:val="000000"/>
          <w:sz w:val="28"/>
          <w:szCs w:val="28"/>
          <w:lang w:val="ru-RU"/>
        </w:rPr>
        <w:t xml:space="preserve"> принимать </w:t>
      </w:r>
      <w:proofErr w:type="spellStart"/>
      <w:r w:rsidRPr="00001823">
        <w:rPr>
          <w:color w:val="000000"/>
          <w:sz w:val="28"/>
          <w:szCs w:val="28"/>
          <w:lang w:val="ru-RU"/>
        </w:rPr>
        <w:t>эспумизан</w:t>
      </w:r>
      <w:proofErr w:type="spellEnd"/>
      <w:r w:rsidRPr="00001823">
        <w:rPr>
          <w:color w:val="000000"/>
          <w:sz w:val="28"/>
          <w:szCs w:val="28"/>
          <w:lang w:val="ru-RU"/>
        </w:rPr>
        <w:t xml:space="preserve"> или активированный уголь (либо другой препарат по назначению врача) – по 2 таблетки 3 раза в день, перед каждым приемом пищи. Если у пациента регулярные запоры — за 2 дня до исследования делается специальная очистительная клизма. Важно</w:t>
      </w:r>
      <w:r w:rsidRPr="00001823">
        <w:rPr>
          <w:color w:val="000000"/>
          <w:sz w:val="28"/>
          <w:szCs w:val="28"/>
          <w:lang w:val="ru-RU"/>
        </w:rPr>
        <w:t xml:space="preserve"> помнить, что это должно проходить за 2 дня, а не в день накануне исследования. Необходимо выдержать специальную диету в течение 3 дней перед исследованием, исключив из рациона определенные продукты. Об этом мы поговорим чуть ниже. Если пациент принимает к</w:t>
      </w:r>
      <w:r w:rsidRPr="00001823">
        <w:rPr>
          <w:color w:val="000000"/>
          <w:sz w:val="28"/>
          <w:szCs w:val="28"/>
          <w:lang w:val="ru-RU"/>
        </w:rPr>
        <w:t>акие-либо лекарственные препараты, об этом необходимо сообщить врачу, который будет проводить УЗИ. Запрещено принимать алкоголь менее</w:t>
      </w:r>
      <w:proofErr w:type="gramStart"/>
      <w:r w:rsidRPr="00001823">
        <w:rPr>
          <w:color w:val="000000"/>
          <w:sz w:val="28"/>
          <w:szCs w:val="28"/>
          <w:lang w:val="ru-RU"/>
        </w:rPr>
        <w:t>,</w:t>
      </w:r>
      <w:proofErr w:type="gramEnd"/>
      <w:r w:rsidRPr="00001823">
        <w:rPr>
          <w:color w:val="000000"/>
          <w:sz w:val="28"/>
          <w:szCs w:val="28"/>
          <w:lang w:val="ru-RU"/>
        </w:rPr>
        <w:t xml:space="preserve"> чем за 48 часов до проведения исследования. Обязательно тщательное очищение кишечника перед процедурой – поэтому врач нер</w:t>
      </w:r>
      <w:r w:rsidRPr="00001823">
        <w:rPr>
          <w:color w:val="000000"/>
          <w:sz w:val="28"/>
          <w:szCs w:val="28"/>
          <w:lang w:val="ru-RU"/>
        </w:rPr>
        <w:t xml:space="preserve">едко назначает пациентам клизму. Перед процедурой УЗИ запрещено проходить </w:t>
      </w:r>
      <w:proofErr w:type="spellStart"/>
      <w:r w:rsidRPr="00001823">
        <w:rPr>
          <w:color w:val="000000"/>
          <w:sz w:val="28"/>
          <w:szCs w:val="28"/>
          <w:lang w:val="ru-RU"/>
        </w:rPr>
        <w:t>колоноскопию</w:t>
      </w:r>
      <w:proofErr w:type="spellEnd"/>
      <w:r w:rsidRPr="00001823">
        <w:rPr>
          <w:color w:val="000000"/>
          <w:sz w:val="28"/>
          <w:szCs w:val="28"/>
          <w:lang w:val="ru-RU"/>
        </w:rPr>
        <w:t>. Непосредственно перед проведением исследования запрещено курить. Перед исследованием нельзя пить воду — исключение составляют только те пациенты, у которых будет провод</w:t>
      </w:r>
      <w:r w:rsidRPr="00001823">
        <w:rPr>
          <w:color w:val="000000"/>
          <w:sz w:val="28"/>
          <w:szCs w:val="28"/>
          <w:lang w:val="ru-RU"/>
        </w:rPr>
        <w:t>иться обследование почек и те, у кого удален желчный пузырь. Интервал между последним приемом воды и исследованием должен быт</w:t>
      </w:r>
      <w:r>
        <w:rPr>
          <w:color w:val="000000"/>
          <w:sz w:val="28"/>
          <w:szCs w:val="28"/>
          <w:lang w:val="ru-RU"/>
        </w:rPr>
        <w:t xml:space="preserve">ь </w:t>
      </w:r>
      <w:r w:rsidRPr="00001823">
        <w:rPr>
          <w:color w:val="000000"/>
          <w:sz w:val="28"/>
          <w:szCs w:val="28"/>
          <w:lang w:val="ru-RU"/>
        </w:rPr>
        <w:t>не менее 4часов.</w:t>
      </w:r>
    </w:p>
    <w:p w:rsidR="006C355A" w:rsidRPr="00001823" w:rsidRDefault="006C355A" w:rsidP="00001823">
      <w:pPr>
        <w:pStyle w:val="a4"/>
        <w:spacing w:after="0"/>
        <w:jc w:val="both"/>
        <w:rPr>
          <w:color w:val="222222"/>
          <w:sz w:val="28"/>
          <w:szCs w:val="28"/>
          <w:lang w:val="ru-RU"/>
        </w:rPr>
      </w:pPr>
    </w:p>
    <w:p w:rsidR="00001823" w:rsidRDefault="00001823" w:rsidP="00001823">
      <w:pPr>
        <w:widowControl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br w:type="page"/>
      </w:r>
    </w:p>
    <w:p w:rsidR="006C355A" w:rsidRDefault="00001823" w:rsidP="00001823">
      <w:pPr>
        <w:jc w:val="center"/>
        <w:rPr>
          <w:color w:val="494949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Правила подготовки пациента к ЭЭГ.</w:t>
      </w:r>
    </w:p>
    <w:p w:rsidR="006C355A" w:rsidRPr="00001823" w:rsidRDefault="006C355A" w:rsidP="00001823">
      <w:pPr>
        <w:pStyle w:val="a4"/>
        <w:widowControl/>
        <w:spacing w:after="0"/>
        <w:jc w:val="center"/>
        <w:rPr>
          <w:color w:val="222222"/>
          <w:sz w:val="28"/>
          <w:szCs w:val="28"/>
          <w:lang w:val="ru-RU"/>
        </w:rPr>
      </w:pPr>
    </w:p>
    <w:p w:rsidR="006C355A" w:rsidRPr="00001823" w:rsidRDefault="00001823" w:rsidP="00001823">
      <w:pPr>
        <w:pStyle w:val="a4"/>
        <w:spacing w:after="0"/>
        <w:jc w:val="both"/>
        <w:rPr>
          <w:rFonts w:ascii="Helvetica CY;helveticaneuecyr;A" w:hAnsi="Helvetica CY;helveticaneuecyr;A"/>
          <w:color w:val="494949"/>
          <w:sz w:val="36"/>
          <w:szCs w:val="28"/>
          <w:lang w:val="ru-RU"/>
        </w:rPr>
      </w:pPr>
      <w:r w:rsidRPr="00001823">
        <w:rPr>
          <w:color w:val="222222"/>
          <w:sz w:val="28"/>
          <w:szCs w:val="28"/>
          <w:lang w:val="ru-RU"/>
        </w:rPr>
        <w:t>Прежде всего, необходимо сообщить лечащему врачу о пре</w:t>
      </w:r>
      <w:r w:rsidRPr="00001823">
        <w:rPr>
          <w:color w:val="222222"/>
          <w:sz w:val="28"/>
          <w:szCs w:val="28"/>
          <w:lang w:val="ru-RU"/>
        </w:rPr>
        <w:t>паратах, которые на постоянной основе или курсом, но именно в этот период времени, принимает больной. Некоторые их них (в частности, транквилизаторы,</w:t>
      </w:r>
      <w:r>
        <w:rPr>
          <w:color w:val="000000"/>
          <w:sz w:val="28"/>
          <w:szCs w:val="28"/>
          <w:lang w:val="ru-RU"/>
        </w:rPr>
        <w:t xml:space="preserve"> </w:t>
      </w:r>
      <w:hyperlink r:id="rId5">
        <w:r w:rsidRPr="00001823">
          <w:rPr>
            <w:rStyle w:val="-"/>
            <w:color w:val="000000"/>
            <w:sz w:val="28"/>
            <w:szCs w:val="28"/>
            <w:u w:val="none"/>
            <w:lang w:val="ru-RU"/>
          </w:rPr>
          <w:t>противосудорожные лекарственные средства</w:t>
        </w:r>
      </w:hyperlink>
      <w:r w:rsidRPr="00001823">
        <w:rPr>
          <w:color w:val="222222"/>
          <w:sz w:val="28"/>
          <w:szCs w:val="28"/>
          <w:lang w:val="ru-RU"/>
        </w:rPr>
        <w:t>) могут повлиять на мозговую активность, тем самым, исказив результаты, поэтому врач, вероятно, предложит пациенту за 3-4 дня до исследования прекратить их прием.</w:t>
      </w:r>
    </w:p>
    <w:p w:rsidR="006C355A" w:rsidRPr="00001823" w:rsidRDefault="00001823" w:rsidP="00001823">
      <w:pPr>
        <w:pStyle w:val="a4"/>
        <w:widowControl/>
        <w:numPr>
          <w:ilvl w:val="0"/>
          <w:numId w:val="2"/>
        </w:numPr>
        <w:tabs>
          <w:tab w:val="left" w:pos="0"/>
        </w:tabs>
        <w:spacing w:after="0"/>
        <w:jc w:val="both"/>
        <w:rPr>
          <w:color w:val="222222"/>
          <w:sz w:val="28"/>
          <w:szCs w:val="28"/>
          <w:lang w:val="ru-RU"/>
        </w:rPr>
      </w:pPr>
      <w:r w:rsidRPr="00001823">
        <w:rPr>
          <w:color w:val="222222"/>
          <w:sz w:val="28"/>
          <w:szCs w:val="28"/>
          <w:lang w:val="ru-RU"/>
        </w:rPr>
        <w:t xml:space="preserve">Накануне исследования и в день его не употреблять в </w:t>
      </w:r>
      <w:r w:rsidRPr="00001823">
        <w:rPr>
          <w:color w:val="222222"/>
          <w:sz w:val="28"/>
          <w:szCs w:val="28"/>
          <w:lang w:val="ru-RU"/>
        </w:rPr>
        <w:t>пищу продукты, в состав которых входит кофеин или вещества-энергетики – чай, кофе, шоколад, энергетические напитки и прочие. Они окажут на нервную систему пациента возбуждающее действие, что исказит результат ЭЭГ.</w:t>
      </w:r>
    </w:p>
    <w:p w:rsidR="006C355A" w:rsidRPr="00001823" w:rsidRDefault="00001823" w:rsidP="00001823">
      <w:pPr>
        <w:pStyle w:val="a4"/>
        <w:widowControl/>
        <w:numPr>
          <w:ilvl w:val="0"/>
          <w:numId w:val="2"/>
        </w:numPr>
        <w:tabs>
          <w:tab w:val="left" w:pos="0"/>
        </w:tabs>
        <w:spacing w:after="0"/>
        <w:jc w:val="both"/>
        <w:rPr>
          <w:color w:val="222222"/>
          <w:sz w:val="28"/>
          <w:szCs w:val="28"/>
          <w:lang w:val="ru-RU"/>
        </w:rPr>
      </w:pPr>
      <w:r w:rsidRPr="00001823">
        <w:rPr>
          <w:color w:val="222222"/>
          <w:sz w:val="28"/>
          <w:szCs w:val="28"/>
          <w:lang w:val="ru-RU"/>
        </w:rPr>
        <w:t xml:space="preserve">Перед процедурой тщательно вымыть голову, </w:t>
      </w:r>
      <w:r w:rsidRPr="00001823">
        <w:rPr>
          <w:color w:val="222222"/>
          <w:sz w:val="28"/>
          <w:szCs w:val="28"/>
          <w:lang w:val="ru-RU"/>
        </w:rPr>
        <w:t xml:space="preserve">очистив волосы от </w:t>
      </w:r>
      <w:proofErr w:type="gramStart"/>
      <w:r w:rsidRPr="00001823">
        <w:rPr>
          <w:color w:val="222222"/>
          <w:sz w:val="28"/>
          <w:szCs w:val="28"/>
          <w:lang w:val="ru-RU"/>
        </w:rPr>
        <w:t>остатков пенки</w:t>
      </w:r>
      <w:proofErr w:type="gramEnd"/>
      <w:r w:rsidRPr="00001823">
        <w:rPr>
          <w:color w:val="222222"/>
          <w:sz w:val="28"/>
          <w:szCs w:val="28"/>
          <w:lang w:val="ru-RU"/>
        </w:rPr>
        <w:t xml:space="preserve"> для укладки, лака и прочих косметических средств. Масла и маски для волос не использовать, поскольку жир, содержащийся в их составе, ухудшит контакт электродов </w:t>
      </w:r>
      <w:proofErr w:type="spellStart"/>
      <w:r w:rsidRPr="00001823">
        <w:rPr>
          <w:color w:val="222222"/>
          <w:sz w:val="28"/>
          <w:szCs w:val="28"/>
          <w:lang w:val="ru-RU"/>
        </w:rPr>
        <w:t>электроэнцефалографа</w:t>
      </w:r>
      <w:proofErr w:type="spellEnd"/>
      <w:r w:rsidRPr="00001823">
        <w:rPr>
          <w:color w:val="222222"/>
          <w:sz w:val="28"/>
          <w:szCs w:val="28"/>
          <w:lang w:val="ru-RU"/>
        </w:rPr>
        <w:t xml:space="preserve"> с кожей головы.</w:t>
      </w:r>
    </w:p>
    <w:p w:rsidR="006C355A" w:rsidRPr="00001823" w:rsidRDefault="00001823" w:rsidP="00001823">
      <w:pPr>
        <w:pStyle w:val="a4"/>
        <w:widowControl/>
        <w:numPr>
          <w:ilvl w:val="0"/>
          <w:numId w:val="2"/>
        </w:numPr>
        <w:tabs>
          <w:tab w:val="left" w:pos="0"/>
        </w:tabs>
        <w:spacing w:after="0"/>
        <w:jc w:val="both"/>
        <w:rPr>
          <w:color w:val="222222"/>
          <w:sz w:val="28"/>
          <w:szCs w:val="28"/>
          <w:lang w:val="ru-RU"/>
        </w:rPr>
      </w:pPr>
      <w:r w:rsidRPr="00001823">
        <w:rPr>
          <w:color w:val="222222"/>
          <w:sz w:val="28"/>
          <w:szCs w:val="28"/>
          <w:lang w:val="ru-RU"/>
        </w:rPr>
        <w:t>За несколько часов до иссл</w:t>
      </w:r>
      <w:r w:rsidRPr="00001823">
        <w:rPr>
          <w:color w:val="222222"/>
          <w:sz w:val="28"/>
          <w:szCs w:val="28"/>
          <w:lang w:val="ru-RU"/>
        </w:rPr>
        <w:t>едования полноценно поесть. Отсутствие приема пищи приведет к гипогликемии (снижению уровня сахара в крови), что также отразится на ЭЭГ.</w:t>
      </w:r>
    </w:p>
    <w:p w:rsidR="006C355A" w:rsidRPr="00001823" w:rsidRDefault="00001823" w:rsidP="00001823">
      <w:pPr>
        <w:pStyle w:val="a4"/>
        <w:widowControl/>
        <w:numPr>
          <w:ilvl w:val="0"/>
          <w:numId w:val="2"/>
        </w:numPr>
        <w:tabs>
          <w:tab w:val="left" w:pos="0"/>
        </w:tabs>
        <w:spacing w:after="0"/>
        <w:jc w:val="both"/>
        <w:rPr>
          <w:color w:val="222222"/>
          <w:sz w:val="28"/>
          <w:szCs w:val="28"/>
          <w:lang w:val="ru-RU"/>
        </w:rPr>
      </w:pPr>
      <w:r w:rsidRPr="00001823">
        <w:rPr>
          <w:color w:val="222222"/>
          <w:sz w:val="28"/>
          <w:szCs w:val="28"/>
          <w:lang w:val="ru-RU"/>
        </w:rPr>
        <w:t>В процессе диагностики нельзя нервничать, а следует находиться в спокойном состоянии, насколько это возможно.</w:t>
      </w:r>
    </w:p>
    <w:p w:rsidR="006C355A" w:rsidRDefault="00001823" w:rsidP="00001823">
      <w:pPr>
        <w:pStyle w:val="a4"/>
        <w:widowControl/>
        <w:numPr>
          <w:ilvl w:val="0"/>
          <w:numId w:val="2"/>
        </w:numPr>
        <w:tabs>
          <w:tab w:val="left" w:pos="0"/>
        </w:tabs>
        <w:spacing w:after="0"/>
        <w:jc w:val="both"/>
        <w:rPr>
          <w:color w:val="222222"/>
          <w:sz w:val="28"/>
          <w:szCs w:val="28"/>
        </w:rPr>
      </w:pPr>
      <w:r w:rsidRPr="00001823">
        <w:rPr>
          <w:color w:val="222222"/>
          <w:sz w:val="28"/>
          <w:szCs w:val="28"/>
          <w:lang w:val="ru-RU"/>
        </w:rPr>
        <w:t>Если паци</w:t>
      </w:r>
      <w:r w:rsidRPr="00001823">
        <w:rPr>
          <w:color w:val="222222"/>
          <w:sz w:val="28"/>
          <w:szCs w:val="28"/>
          <w:lang w:val="ru-RU"/>
        </w:rPr>
        <w:t xml:space="preserve">енту назначена ЭЭГ сна, ночь накануне исследования должна быть для него бессонной. Непосредственно перед ЭЭГ он получает седативный препарат, которые поможет ему заснуть во время записи электроэнцефалограммы. </w:t>
      </w:r>
      <w:r>
        <w:rPr>
          <w:color w:val="222222"/>
          <w:sz w:val="28"/>
          <w:szCs w:val="28"/>
        </w:rPr>
        <w:t xml:space="preserve">ЭЭГ </w:t>
      </w:r>
      <w:proofErr w:type="spellStart"/>
      <w:r>
        <w:rPr>
          <w:color w:val="222222"/>
          <w:sz w:val="28"/>
          <w:szCs w:val="28"/>
        </w:rPr>
        <w:t>сна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как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правило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необходима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лицам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страдаю</w:t>
      </w:r>
      <w:r>
        <w:rPr>
          <w:color w:val="222222"/>
          <w:sz w:val="28"/>
          <w:szCs w:val="28"/>
        </w:rPr>
        <w:t>щим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эпилепсией</w:t>
      </w:r>
      <w:proofErr w:type="spellEnd"/>
      <w:r>
        <w:rPr>
          <w:color w:val="222222"/>
          <w:sz w:val="28"/>
          <w:szCs w:val="28"/>
        </w:rPr>
        <w:t>.</w:t>
      </w:r>
    </w:p>
    <w:p w:rsidR="00001823" w:rsidRDefault="00001823">
      <w:pPr>
        <w:widowControl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br w:type="page"/>
      </w:r>
    </w:p>
    <w:p w:rsidR="006C355A" w:rsidRDefault="00001823" w:rsidP="00001823">
      <w:pPr>
        <w:jc w:val="center"/>
        <w:rPr>
          <w:color w:val="494949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Правила подготовки пациента к ЭКГ.</w:t>
      </w:r>
    </w:p>
    <w:p w:rsidR="006C355A" w:rsidRDefault="006C355A" w:rsidP="00001823">
      <w:pPr>
        <w:jc w:val="both"/>
        <w:rPr>
          <w:color w:val="494949"/>
          <w:sz w:val="28"/>
          <w:szCs w:val="28"/>
          <w:lang w:val="ru-RU"/>
        </w:rPr>
      </w:pPr>
    </w:p>
    <w:p w:rsidR="006C355A" w:rsidRDefault="00001823" w:rsidP="00001823">
      <w:pPr>
        <w:pStyle w:val="a4"/>
        <w:spacing w:after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Перед регистрацией электрокардиограммы стоит отказаться от употребления алкогольных напитков и курения. Нельзя пить кофе и напитки, содержащие кофеин. Не </w:t>
      </w:r>
      <w:proofErr w:type="gramStart"/>
      <w:r>
        <w:rPr>
          <w:color w:val="000000"/>
          <w:sz w:val="28"/>
          <w:szCs w:val="28"/>
          <w:lang w:val="ru-RU"/>
        </w:rPr>
        <w:t>рекомендуется</w:t>
      </w:r>
      <w:proofErr w:type="gramEnd"/>
      <w:r>
        <w:rPr>
          <w:color w:val="000000"/>
          <w:sz w:val="28"/>
          <w:szCs w:val="28"/>
          <w:lang w:val="ru-RU"/>
        </w:rPr>
        <w:t xml:space="preserve"> есть за несколько </w:t>
      </w:r>
      <w:r>
        <w:rPr>
          <w:color w:val="000000"/>
          <w:sz w:val="28"/>
          <w:szCs w:val="28"/>
          <w:lang w:val="ru-RU"/>
        </w:rPr>
        <w:t>часов до визита к врачу Курение, кофеин и тяжелая пища способствуют ускорению сердечного ритма, что может внести неточности в результаты ЭКГ. Оптимально, если обследование проводится натощак.</w:t>
      </w:r>
    </w:p>
    <w:p w:rsidR="006C355A" w:rsidRPr="00001823" w:rsidRDefault="00001823" w:rsidP="00001823">
      <w:pPr>
        <w:pStyle w:val="a4"/>
        <w:widowControl/>
        <w:spacing w:after="0"/>
        <w:jc w:val="both"/>
        <w:rPr>
          <w:color w:val="000000"/>
          <w:sz w:val="28"/>
          <w:szCs w:val="28"/>
          <w:lang w:val="ru-RU"/>
        </w:rPr>
      </w:pPr>
      <w:r w:rsidRPr="00001823">
        <w:rPr>
          <w:color w:val="000000"/>
          <w:sz w:val="28"/>
          <w:szCs w:val="28"/>
          <w:lang w:val="ru-RU"/>
        </w:rPr>
        <w:t xml:space="preserve"> Если перед процедурой человек принимает душ, то ему следует </w:t>
      </w:r>
      <w:r w:rsidRPr="00001823">
        <w:rPr>
          <w:color w:val="000000"/>
          <w:sz w:val="28"/>
          <w:szCs w:val="28"/>
          <w:lang w:val="ru-RU"/>
        </w:rPr>
        <w:t>отказаться от использования жирных лосьонов для тела и гелей для душа на масляной основе. Такие составы создают препятствие при контакте кожных покровов и датчиков прибора.</w:t>
      </w:r>
    </w:p>
    <w:p w:rsidR="006C355A" w:rsidRPr="00001823" w:rsidRDefault="00001823" w:rsidP="00001823">
      <w:pPr>
        <w:pStyle w:val="a4"/>
        <w:widowControl/>
        <w:shd w:val="clear" w:color="auto" w:fill="FFFFFF"/>
        <w:spacing w:after="0"/>
        <w:jc w:val="both"/>
        <w:rPr>
          <w:color w:val="000000"/>
          <w:sz w:val="28"/>
          <w:szCs w:val="28"/>
          <w:lang w:val="ru-RU"/>
        </w:rPr>
      </w:pPr>
      <w:r w:rsidRPr="00001823">
        <w:rPr>
          <w:color w:val="000000"/>
          <w:sz w:val="28"/>
          <w:szCs w:val="28"/>
          <w:lang w:val="ru-RU"/>
        </w:rPr>
        <w:t xml:space="preserve"> Важно надеть комфортную одежду, чтобы потом не было проблем снять ее перед исследо</w:t>
      </w:r>
      <w:r w:rsidRPr="00001823">
        <w:rPr>
          <w:color w:val="000000"/>
          <w:sz w:val="28"/>
          <w:szCs w:val="28"/>
          <w:lang w:val="ru-RU"/>
        </w:rPr>
        <w:t>ванием. Стоит учитывать, что во время процедуры придется оголять области верхних и нижних конечностей или снимать одежду до пояса</w:t>
      </w:r>
    </w:p>
    <w:p w:rsidR="006C355A" w:rsidRPr="00001823" w:rsidRDefault="00001823" w:rsidP="00001823">
      <w:pPr>
        <w:pStyle w:val="a4"/>
        <w:widowControl/>
        <w:spacing w:after="0"/>
        <w:jc w:val="both"/>
        <w:rPr>
          <w:color w:val="000000"/>
          <w:sz w:val="28"/>
          <w:szCs w:val="28"/>
          <w:lang w:val="ru-RU"/>
        </w:rPr>
      </w:pPr>
      <w:r w:rsidRPr="00001823">
        <w:rPr>
          <w:color w:val="000000"/>
          <w:sz w:val="28"/>
          <w:szCs w:val="28"/>
          <w:lang w:val="ru-RU"/>
        </w:rPr>
        <w:t xml:space="preserve"> Не рекомендуется надевать украшения из металла. Если вы берете их с собой, то будьте готовы к тому, что украшения придется сн</w:t>
      </w:r>
      <w:r w:rsidRPr="00001823">
        <w:rPr>
          <w:color w:val="000000"/>
          <w:sz w:val="28"/>
          <w:szCs w:val="28"/>
          <w:lang w:val="ru-RU"/>
        </w:rPr>
        <w:t>ять.</w:t>
      </w:r>
    </w:p>
    <w:p w:rsidR="00001823" w:rsidRDefault="00001823">
      <w:pPr>
        <w:widowControl/>
        <w:rPr>
          <w:color w:val="494949"/>
          <w:sz w:val="28"/>
          <w:szCs w:val="28"/>
          <w:lang w:val="ru-RU"/>
        </w:rPr>
      </w:pPr>
      <w:r>
        <w:rPr>
          <w:color w:val="494949"/>
          <w:sz w:val="28"/>
          <w:szCs w:val="28"/>
          <w:lang w:val="ru-RU"/>
        </w:rPr>
        <w:br w:type="page"/>
      </w:r>
    </w:p>
    <w:p w:rsidR="006C355A" w:rsidRDefault="00001823" w:rsidP="00001823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Правила подготовка пациента к процедуре сдачи крови</w:t>
      </w:r>
    </w:p>
    <w:p w:rsidR="006C355A" w:rsidRDefault="006C355A" w:rsidP="00001823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6C355A" w:rsidRDefault="00001823" w:rsidP="00001823">
      <w:pPr>
        <w:pStyle w:val="a4"/>
        <w:widowControl/>
        <w:numPr>
          <w:ilvl w:val="0"/>
          <w:numId w:val="4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  <w:highlight w:val="white"/>
        </w:rPr>
      </w:pPr>
      <w:r w:rsidRPr="00001823">
        <w:rPr>
          <w:color w:val="000000"/>
          <w:sz w:val="28"/>
          <w:szCs w:val="28"/>
          <w:highlight w:val="white"/>
          <w:lang w:val="ru-RU"/>
        </w:rPr>
        <w:t>Ряд анализов делают</w:t>
      </w:r>
      <w:r>
        <w:rPr>
          <w:color w:val="000000"/>
          <w:sz w:val="28"/>
          <w:szCs w:val="28"/>
          <w:highlight w:val="white"/>
        </w:rPr>
        <w:t> </w:t>
      </w:r>
      <w:r w:rsidRPr="00001823">
        <w:rPr>
          <w:color w:val="000000"/>
          <w:sz w:val="28"/>
          <w:szCs w:val="28"/>
          <w:highlight w:val="white"/>
          <w:lang w:val="ru-RU"/>
        </w:rPr>
        <w:t xml:space="preserve">натощак. Например, биохимические (глюкоза, </w:t>
      </w:r>
      <w:proofErr w:type="spellStart"/>
      <w:r w:rsidRPr="00001823">
        <w:rPr>
          <w:color w:val="000000"/>
          <w:sz w:val="28"/>
          <w:szCs w:val="28"/>
          <w:highlight w:val="white"/>
          <w:lang w:val="ru-RU"/>
        </w:rPr>
        <w:t>холестерол</w:t>
      </w:r>
      <w:proofErr w:type="spellEnd"/>
      <w:r w:rsidRPr="00001823">
        <w:rPr>
          <w:color w:val="000000"/>
          <w:sz w:val="28"/>
          <w:szCs w:val="28"/>
          <w:highlight w:val="white"/>
          <w:lang w:val="ru-RU"/>
        </w:rPr>
        <w:t xml:space="preserve">, билирубин и др.) и серологические тесты (сифилис, гепатит В), гормоны (ТТГ, </w:t>
      </w:r>
      <w:proofErr w:type="spellStart"/>
      <w:r w:rsidRPr="00001823">
        <w:rPr>
          <w:color w:val="000000"/>
          <w:sz w:val="28"/>
          <w:szCs w:val="28"/>
          <w:highlight w:val="white"/>
          <w:lang w:val="ru-RU"/>
        </w:rPr>
        <w:t>паратгормон</w:t>
      </w:r>
      <w:proofErr w:type="spellEnd"/>
      <w:r w:rsidRPr="00001823">
        <w:rPr>
          <w:color w:val="000000"/>
          <w:sz w:val="28"/>
          <w:szCs w:val="28"/>
          <w:highlight w:val="white"/>
          <w:lang w:val="ru-RU"/>
        </w:rPr>
        <w:t xml:space="preserve">) и др. «Натощак» - это когда </w:t>
      </w:r>
      <w:r w:rsidRPr="00001823">
        <w:rPr>
          <w:color w:val="000000"/>
          <w:sz w:val="28"/>
          <w:szCs w:val="28"/>
          <w:highlight w:val="white"/>
          <w:lang w:val="ru-RU"/>
        </w:rPr>
        <w:t xml:space="preserve">между последним приёмом пищи и взятием крови проходит не менее 8 часов (желательно - не менее 12 часов). Сок, чай, кофе, тем более с сахаром - тоже еда, поэтому придётся потерпеть. </w:t>
      </w:r>
      <w:proofErr w:type="spellStart"/>
      <w:r>
        <w:rPr>
          <w:color w:val="000000"/>
          <w:sz w:val="28"/>
          <w:szCs w:val="28"/>
          <w:highlight w:val="white"/>
        </w:rPr>
        <w:t>Можно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пить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воду</w:t>
      </w:r>
      <w:proofErr w:type="spellEnd"/>
      <w:r>
        <w:rPr>
          <w:color w:val="000000"/>
          <w:sz w:val="28"/>
          <w:szCs w:val="28"/>
          <w:highlight w:val="white"/>
        </w:rPr>
        <w:t>.</w:t>
      </w:r>
    </w:p>
    <w:p w:rsidR="006C355A" w:rsidRPr="00001823" w:rsidRDefault="00001823" w:rsidP="00001823">
      <w:pPr>
        <w:pStyle w:val="a4"/>
        <w:widowControl/>
        <w:numPr>
          <w:ilvl w:val="0"/>
          <w:numId w:val="4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  <w:highlight w:val="white"/>
          <w:lang w:val="ru-RU"/>
        </w:rPr>
      </w:pPr>
      <w:r w:rsidRPr="00001823">
        <w:rPr>
          <w:color w:val="000000"/>
          <w:sz w:val="28"/>
          <w:szCs w:val="28"/>
          <w:highlight w:val="white"/>
          <w:lang w:val="ru-RU"/>
        </w:rPr>
        <w:t>Строго натощак (после 12-часового голодания) следует сдава</w:t>
      </w:r>
      <w:r w:rsidRPr="00001823">
        <w:rPr>
          <w:color w:val="000000"/>
          <w:sz w:val="28"/>
          <w:szCs w:val="28"/>
          <w:highlight w:val="white"/>
          <w:lang w:val="ru-RU"/>
        </w:rPr>
        <w:t xml:space="preserve">ть кровь для определения параметров липидного профиля: </w:t>
      </w:r>
      <w:proofErr w:type="spellStart"/>
      <w:r w:rsidRPr="00001823">
        <w:rPr>
          <w:color w:val="000000"/>
          <w:sz w:val="28"/>
          <w:szCs w:val="28"/>
          <w:highlight w:val="white"/>
          <w:lang w:val="ru-RU"/>
        </w:rPr>
        <w:t>холестерол</w:t>
      </w:r>
      <w:proofErr w:type="spellEnd"/>
      <w:r w:rsidRPr="00001823">
        <w:rPr>
          <w:color w:val="000000"/>
          <w:sz w:val="28"/>
          <w:szCs w:val="28"/>
          <w:highlight w:val="white"/>
          <w:lang w:val="ru-RU"/>
        </w:rPr>
        <w:t xml:space="preserve">, ЛПВП, ЛПНП, </w:t>
      </w:r>
      <w:proofErr w:type="spellStart"/>
      <w:r w:rsidRPr="00001823">
        <w:rPr>
          <w:color w:val="000000"/>
          <w:sz w:val="28"/>
          <w:szCs w:val="28"/>
          <w:highlight w:val="white"/>
          <w:lang w:val="ru-RU"/>
        </w:rPr>
        <w:t>триглицериды</w:t>
      </w:r>
      <w:proofErr w:type="spellEnd"/>
      <w:r w:rsidRPr="00001823">
        <w:rPr>
          <w:color w:val="000000"/>
          <w:sz w:val="28"/>
          <w:szCs w:val="28"/>
          <w:highlight w:val="white"/>
          <w:lang w:val="ru-RU"/>
        </w:rPr>
        <w:t>.</w:t>
      </w:r>
    </w:p>
    <w:p w:rsidR="006C355A" w:rsidRPr="00001823" w:rsidRDefault="00001823" w:rsidP="00001823">
      <w:pPr>
        <w:pStyle w:val="a4"/>
        <w:widowControl/>
        <w:numPr>
          <w:ilvl w:val="0"/>
          <w:numId w:val="4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  <w:highlight w:val="white"/>
          <w:lang w:val="ru-RU"/>
        </w:rPr>
      </w:pPr>
      <w:r w:rsidRPr="00001823">
        <w:rPr>
          <w:color w:val="000000"/>
          <w:sz w:val="28"/>
          <w:szCs w:val="28"/>
          <w:highlight w:val="white"/>
          <w:lang w:val="ru-RU"/>
        </w:rPr>
        <w:t>Если предстоит сдавать общий анализ крови, последний приём пищи должен быть не позже, чем за 1 час до сдачи крови. Завтрак может состоять из несладкого чая, неслад</w:t>
      </w:r>
      <w:r w:rsidRPr="00001823">
        <w:rPr>
          <w:color w:val="000000"/>
          <w:sz w:val="28"/>
          <w:szCs w:val="28"/>
          <w:highlight w:val="white"/>
          <w:lang w:val="ru-RU"/>
        </w:rPr>
        <w:t>кой каши без масла и молока, яблока.</w:t>
      </w:r>
    </w:p>
    <w:p w:rsidR="006C355A" w:rsidRPr="00001823" w:rsidRDefault="00001823" w:rsidP="00001823">
      <w:pPr>
        <w:pStyle w:val="a4"/>
        <w:widowControl/>
        <w:numPr>
          <w:ilvl w:val="0"/>
          <w:numId w:val="4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  <w:highlight w:val="white"/>
          <w:lang w:val="ru-RU"/>
        </w:rPr>
      </w:pPr>
      <w:r w:rsidRPr="00001823">
        <w:rPr>
          <w:color w:val="000000"/>
          <w:sz w:val="28"/>
          <w:szCs w:val="28"/>
          <w:highlight w:val="white"/>
          <w:lang w:val="ru-RU"/>
        </w:rPr>
        <w:t xml:space="preserve">Желательно за 1 - 2 дня до обследования исключить из рациона </w:t>
      </w:r>
      <w:proofErr w:type="gramStart"/>
      <w:r w:rsidRPr="00001823">
        <w:rPr>
          <w:color w:val="000000"/>
          <w:sz w:val="28"/>
          <w:szCs w:val="28"/>
          <w:highlight w:val="white"/>
          <w:lang w:val="ru-RU"/>
        </w:rPr>
        <w:t>жирное</w:t>
      </w:r>
      <w:proofErr w:type="gramEnd"/>
      <w:r w:rsidRPr="00001823">
        <w:rPr>
          <w:color w:val="000000"/>
          <w:sz w:val="28"/>
          <w:szCs w:val="28"/>
          <w:highlight w:val="white"/>
          <w:lang w:val="ru-RU"/>
        </w:rPr>
        <w:t>, жареное и алкоголь. Если накануне состоялось застолье - перенесите лабораторное исследование на 1-2 дня. За час до взятия крови воздержитесь от курени</w:t>
      </w:r>
      <w:r w:rsidRPr="00001823">
        <w:rPr>
          <w:color w:val="000000"/>
          <w:sz w:val="28"/>
          <w:szCs w:val="28"/>
          <w:highlight w:val="white"/>
          <w:lang w:val="ru-RU"/>
        </w:rPr>
        <w:t>я.</w:t>
      </w:r>
    </w:p>
    <w:p w:rsidR="006C355A" w:rsidRPr="00001823" w:rsidRDefault="00001823" w:rsidP="00001823">
      <w:pPr>
        <w:pStyle w:val="a4"/>
        <w:widowControl/>
        <w:numPr>
          <w:ilvl w:val="0"/>
          <w:numId w:val="4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  <w:highlight w:val="white"/>
          <w:lang w:val="ru-RU"/>
        </w:rPr>
      </w:pPr>
      <w:r w:rsidRPr="00001823">
        <w:rPr>
          <w:color w:val="000000"/>
          <w:sz w:val="28"/>
          <w:szCs w:val="28"/>
          <w:highlight w:val="white"/>
          <w:lang w:val="ru-RU"/>
        </w:rPr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Так, кровь на некоторые гормоны (ТТГ и </w:t>
      </w:r>
      <w:proofErr w:type="spellStart"/>
      <w:r w:rsidRPr="00001823">
        <w:rPr>
          <w:color w:val="000000"/>
          <w:sz w:val="28"/>
          <w:szCs w:val="28"/>
          <w:highlight w:val="white"/>
          <w:lang w:val="ru-RU"/>
        </w:rPr>
        <w:t>паратгормон</w:t>
      </w:r>
      <w:proofErr w:type="spellEnd"/>
      <w:r w:rsidRPr="00001823">
        <w:rPr>
          <w:color w:val="000000"/>
          <w:sz w:val="28"/>
          <w:szCs w:val="28"/>
          <w:highlight w:val="white"/>
          <w:lang w:val="ru-RU"/>
        </w:rPr>
        <w:t>), а также на железо сдают только до 10 утра.</w:t>
      </w:r>
    </w:p>
    <w:p w:rsidR="006C355A" w:rsidRDefault="00001823" w:rsidP="00001823">
      <w:pPr>
        <w:pStyle w:val="a4"/>
        <w:widowControl/>
        <w:numPr>
          <w:ilvl w:val="0"/>
          <w:numId w:val="4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  <w:highlight w:val="white"/>
        </w:rPr>
      </w:pPr>
      <w:r w:rsidRPr="00001823">
        <w:rPr>
          <w:color w:val="000000"/>
          <w:sz w:val="28"/>
          <w:szCs w:val="28"/>
          <w:highlight w:val="white"/>
          <w:lang w:val="ru-RU"/>
        </w:rPr>
        <w:t>При</w:t>
      </w:r>
      <w:r w:rsidRPr="00001823">
        <w:rPr>
          <w:color w:val="000000"/>
          <w:sz w:val="28"/>
          <w:szCs w:val="28"/>
          <w:highlight w:val="white"/>
          <w:lang w:val="ru-RU"/>
        </w:rPr>
        <w:t xml:space="preserve"> сдаче венозной крови нужно исключить факторы, влияющие на результаты исследований: физическое напряжение (бег, подъём по лестнице), эмоциональное возбуждение. </w:t>
      </w:r>
      <w:proofErr w:type="spellStart"/>
      <w:r>
        <w:rPr>
          <w:color w:val="000000"/>
          <w:sz w:val="28"/>
          <w:szCs w:val="28"/>
          <w:highlight w:val="white"/>
        </w:rPr>
        <w:t>Поэтому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перед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процедурой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следует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отдохнуть</w:t>
      </w:r>
      <w:proofErr w:type="spellEnd"/>
      <w:r>
        <w:rPr>
          <w:color w:val="000000"/>
          <w:sz w:val="28"/>
          <w:szCs w:val="28"/>
          <w:highlight w:val="white"/>
        </w:rPr>
        <w:t xml:space="preserve"> 10 - 15 </w:t>
      </w:r>
      <w:proofErr w:type="spellStart"/>
      <w:r>
        <w:rPr>
          <w:color w:val="000000"/>
          <w:sz w:val="28"/>
          <w:szCs w:val="28"/>
          <w:highlight w:val="white"/>
        </w:rPr>
        <w:t>минут</w:t>
      </w:r>
      <w:proofErr w:type="spellEnd"/>
      <w:r>
        <w:rPr>
          <w:color w:val="000000"/>
          <w:sz w:val="28"/>
          <w:szCs w:val="28"/>
          <w:highlight w:val="white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</w:rPr>
        <w:t>приёмной</w:t>
      </w:r>
      <w:proofErr w:type="spellEnd"/>
      <w:r>
        <w:rPr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</w:rPr>
        <w:t>успокоиться</w:t>
      </w:r>
      <w:proofErr w:type="spellEnd"/>
      <w:r>
        <w:rPr>
          <w:color w:val="000000"/>
          <w:sz w:val="28"/>
          <w:szCs w:val="28"/>
          <w:highlight w:val="white"/>
        </w:rPr>
        <w:t>.</w:t>
      </w:r>
    </w:p>
    <w:p w:rsidR="00001823" w:rsidRDefault="00001823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br w:type="page"/>
      </w:r>
    </w:p>
    <w:p w:rsidR="006C355A" w:rsidRPr="00001823" w:rsidRDefault="00001823" w:rsidP="00001823">
      <w:pPr>
        <w:pStyle w:val="a4"/>
        <w:widowControl/>
        <w:spacing w:after="0"/>
        <w:jc w:val="center"/>
        <w:rPr>
          <w:b/>
          <w:color w:val="0097A9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Правила п</w:t>
      </w:r>
      <w:r w:rsidRPr="00001823">
        <w:rPr>
          <w:b/>
          <w:color w:val="000000"/>
          <w:sz w:val="28"/>
          <w:szCs w:val="28"/>
          <w:lang w:val="ru-RU"/>
        </w:rPr>
        <w:t>одг</w:t>
      </w:r>
      <w:r w:rsidRPr="00001823">
        <w:rPr>
          <w:b/>
          <w:color w:val="000000"/>
          <w:sz w:val="28"/>
          <w:szCs w:val="28"/>
          <w:lang w:val="ru-RU"/>
        </w:rPr>
        <w:t>отовка пациента к процедуре сдачи мочи</w:t>
      </w:r>
    </w:p>
    <w:p w:rsidR="006C355A" w:rsidRPr="00001823" w:rsidRDefault="00001823" w:rsidP="00001823">
      <w:pPr>
        <w:pStyle w:val="a4"/>
        <w:widowControl/>
        <w:spacing w:after="0"/>
        <w:jc w:val="both"/>
        <w:rPr>
          <w:b/>
          <w:color w:val="0097A9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 </w:t>
      </w:r>
      <w:r w:rsidRPr="00001823">
        <w:rPr>
          <w:b/>
          <w:color w:val="000000"/>
          <w:sz w:val="28"/>
          <w:szCs w:val="28"/>
          <w:lang w:val="ru-RU"/>
        </w:rPr>
        <w:br/>
      </w:r>
      <w:r w:rsidRPr="00001823">
        <w:rPr>
          <w:color w:val="000000"/>
          <w:sz w:val="28"/>
          <w:szCs w:val="28"/>
          <w:lang w:val="ru-RU"/>
        </w:rPr>
        <w:t xml:space="preserve">Накануне сдачи анализа рекомендуется не употреблять овощи и фрукты, которые могут изменить цвет мочи (свекла, морковь и пр.), не принимать </w:t>
      </w:r>
      <w:proofErr w:type="spellStart"/>
      <w:r w:rsidRPr="00001823">
        <w:rPr>
          <w:color w:val="000000"/>
          <w:sz w:val="28"/>
          <w:szCs w:val="28"/>
          <w:lang w:val="ru-RU"/>
        </w:rPr>
        <w:t>диуретики</w:t>
      </w:r>
      <w:proofErr w:type="spellEnd"/>
      <w:r w:rsidRPr="00001823">
        <w:rPr>
          <w:color w:val="000000"/>
          <w:sz w:val="28"/>
          <w:szCs w:val="28"/>
          <w:lang w:val="ru-RU"/>
        </w:rPr>
        <w:t xml:space="preserve">. Перед сбором мочи надо произвести тщательный гигиенический </w:t>
      </w:r>
      <w:r w:rsidRPr="00001823">
        <w:rPr>
          <w:color w:val="000000"/>
          <w:sz w:val="28"/>
          <w:szCs w:val="28"/>
          <w:lang w:val="ru-RU"/>
        </w:rPr>
        <w:t>туалет половых органов. Женщинам не рекомендуется сдавать анализ мочи во время менструации.</w:t>
      </w:r>
    </w:p>
    <w:p w:rsidR="006C355A" w:rsidRPr="00001823" w:rsidRDefault="00001823" w:rsidP="00001823">
      <w:pPr>
        <w:pStyle w:val="a4"/>
        <w:widowControl/>
        <w:spacing w:after="0"/>
        <w:jc w:val="both"/>
        <w:rPr>
          <w:color w:val="000000"/>
          <w:sz w:val="28"/>
          <w:szCs w:val="28"/>
          <w:lang w:val="ru-RU"/>
        </w:rPr>
      </w:pPr>
      <w:r w:rsidRPr="00001823">
        <w:rPr>
          <w:color w:val="000000"/>
          <w:sz w:val="28"/>
          <w:szCs w:val="28"/>
          <w:lang w:val="ru-RU"/>
        </w:rPr>
        <w:t>Соберите примерно 50 мл утренней мочи в контейнер (с белой крышкой). Для правильного проведения исследования при первом утреннем мочеиспускании небольшое количеств</w:t>
      </w:r>
      <w:r w:rsidRPr="00001823">
        <w:rPr>
          <w:color w:val="000000"/>
          <w:sz w:val="28"/>
          <w:szCs w:val="28"/>
          <w:lang w:val="ru-RU"/>
        </w:rPr>
        <w:t>о мочи (первые 1 - 2 секунды)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6C355A" w:rsidRPr="00001823" w:rsidRDefault="00001823" w:rsidP="00001823">
      <w:pPr>
        <w:pStyle w:val="a4"/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  <w:lang w:val="ru-RU"/>
        </w:rPr>
      </w:pPr>
      <w:r w:rsidRPr="00001823">
        <w:rPr>
          <w:color w:val="000000"/>
          <w:sz w:val="28"/>
          <w:szCs w:val="28"/>
          <w:lang w:val="ru-RU"/>
        </w:rPr>
        <w:t>Сразу после сбора мочи плотно закройте контейнер завинчивающейся крышкой.</w:t>
      </w:r>
      <w:r>
        <w:rPr>
          <w:color w:val="000000"/>
          <w:sz w:val="28"/>
          <w:szCs w:val="28"/>
        </w:rPr>
        <w:t> </w:t>
      </w:r>
    </w:p>
    <w:sectPr w:rsidR="006C355A" w:rsidRPr="00001823" w:rsidSect="00001823">
      <w:pgSz w:w="11906" w:h="16838"/>
      <w:pgMar w:top="567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CY;helveticaneuecyr;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905"/>
    <w:multiLevelType w:val="multilevel"/>
    <w:tmpl w:val="2A9ACF8E"/>
    <w:lvl w:ilvl="0">
      <w:start w:val="1"/>
      <w:numFmt w:val="bullet"/>
      <w:suff w:val="nothing"/>
      <w:lvlText w:val=""/>
      <w:lvlJc w:val="left"/>
      <w:pPr>
        <w:ind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hanging="283"/>
      </w:pPr>
      <w:rPr>
        <w:rFonts w:ascii="Symbol" w:hAnsi="Symbol" w:cs="OpenSymbol" w:hint="default"/>
      </w:rPr>
    </w:lvl>
  </w:abstractNum>
  <w:abstractNum w:abstractNumId="1">
    <w:nsid w:val="08862F7F"/>
    <w:multiLevelType w:val="multilevel"/>
    <w:tmpl w:val="CBAC42E0"/>
    <w:lvl w:ilvl="0">
      <w:start w:val="1"/>
      <w:numFmt w:val="decimal"/>
      <w:lvlText w:val="%1."/>
      <w:lvlJc w:val="left"/>
      <w:pPr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hanging="283"/>
      </w:pPr>
    </w:lvl>
  </w:abstractNum>
  <w:abstractNum w:abstractNumId="2">
    <w:nsid w:val="0D547F3D"/>
    <w:multiLevelType w:val="multilevel"/>
    <w:tmpl w:val="1BDC0AB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hanging="283"/>
      </w:pPr>
      <w:rPr>
        <w:rFonts w:ascii="Symbol" w:hAnsi="Symbol" w:cs="OpenSymbol" w:hint="default"/>
      </w:rPr>
    </w:lvl>
  </w:abstractNum>
  <w:abstractNum w:abstractNumId="3">
    <w:nsid w:val="17DD27C3"/>
    <w:multiLevelType w:val="multilevel"/>
    <w:tmpl w:val="4022D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abstractNum w:abstractNumId="4">
    <w:nsid w:val="7DA447A2"/>
    <w:multiLevelType w:val="multilevel"/>
    <w:tmpl w:val="C82CCC4C"/>
    <w:lvl w:ilvl="0">
      <w:start w:val="1"/>
      <w:numFmt w:val="decimal"/>
      <w:suff w:val="nothing"/>
      <w:lvlText w:val="%1."/>
      <w:lvlJc w:val="left"/>
      <w:pPr>
        <w:ind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6C355A"/>
    <w:rsid w:val="00001823"/>
    <w:rsid w:val="006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6C355A"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character" w:customStyle="1" w:styleId="-">
    <w:name w:val="Интернет-ссылка"/>
    <w:rsid w:val="006C355A"/>
    <w:rPr>
      <w:color w:val="000080"/>
      <w:u w:val="single"/>
    </w:rPr>
  </w:style>
  <w:style w:type="character" w:customStyle="1" w:styleId="a5">
    <w:name w:val="Маркеры списка"/>
    <w:qFormat/>
    <w:rsid w:val="006C355A"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  <w:rsid w:val="006C355A"/>
  </w:style>
  <w:style w:type="paragraph" w:customStyle="1" w:styleId="a3">
    <w:name w:val="Заголовок"/>
    <w:basedOn w:val="a"/>
    <w:next w:val="a4"/>
    <w:qFormat/>
    <w:rsid w:val="006C355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C355A"/>
    <w:pPr>
      <w:spacing w:after="120"/>
    </w:pPr>
  </w:style>
  <w:style w:type="paragraph" w:styleId="a7">
    <w:name w:val="List"/>
    <w:basedOn w:val="a4"/>
    <w:rsid w:val="006C355A"/>
  </w:style>
  <w:style w:type="paragraph" w:customStyle="1" w:styleId="Caption">
    <w:name w:val="Caption"/>
    <w:basedOn w:val="a"/>
    <w:qFormat/>
    <w:rsid w:val="006C355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6C355A"/>
    <w:pPr>
      <w:suppressLineNumbers/>
    </w:pPr>
  </w:style>
  <w:style w:type="paragraph" w:customStyle="1" w:styleId="a9">
    <w:name w:val="Содержимое таблицы"/>
    <w:basedOn w:val="a"/>
    <w:qFormat/>
    <w:rsid w:val="006C355A"/>
    <w:pPr>
      <w:suppressLineNumbers/>
    </w:pPr>
  </w:style>
  <w:style w:type="paragraph" w:customStyle="1" w:styleId="aa">
    <w:name w:val="Заголовок таблицы"/>
    <w:basedOn w:val="a9"/>
    <w:qFormat/>
    <w:rsid w:val="006C355A"/>
    <w:pPr>
      <w:jc w:val="center"/>
    </w:pPr>
    <w:rPr>
      <w:b/>
      <w:bCs/>
    </w:rPr>
  </w:style>
  <w:style w:type="paragraph" w:customStyle="1" w:styleId="ab">
    <w:name w:val="Содержимое врезки"/>
    <w:basedOn w:val="a"/>
    <w:qFormat/>
    <w:rsid w:val="006C3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tor-neurologist.ru/protivosudorozhnye-preparaty-pri-epilepsii-obzor-sreds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</dc:creator>
  <cp:lastModifiedBy>balu</cp:lastModifiedBy>
  <cp:revision>3</cp:revision>
  <cp:lastPrinted>2018-01-17T04:06:00Z</cp:lastPrinted>
  <dcterms:created xsi:type="dcterms:W3CDTF">2018-01-17T04:03:00Z</dcterms:created>
  <dcterms:modified xsi:type="dcterms:W3CDTF">2018-01-17T04:06:00Z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2018-01-16T10:51:59Z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